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0" w:name="OLE_LINK1"/>
      <w:r>
        <w:rPr>
          <w:rFonts w:hint="eastAsia" w:cs="宋体" w:asciiTheme="minorEastAsia" w:hAnsiTheme="minorEastAsia" w:eastAsiaTheme="minorEastAsia"/>
          <w:color w:val="auto"/>
          <w:kern w:val="0"/>
          <w:sz w:val="44"/>
          <w:szCs w:val="44"/>
        </w:rPr>
        <w:t>百大电器经营车辆转让-皖A95401公告（</w:t>
      </w:r>
      <w:r>
        <w:rPr>
          <w:rFonts w:hint="eastAsia" w:cs="宋体" w:asciiTheme="minorEastAsia" w:hAnsiTheme="minorEastAsia" w:eastAsiaTheme="minorEastAsia"/>
          <w:color w:val="auto"/>
          <w:kern w:val="0"/>
          <w:sz w:val="44"/>
          <w:szCs w:val="44"/>
          <w:lang w:val="en-US" w:eastAsia="zh-CN"/>
        </w:rPr>
        <w:t>三</w:t>
      </w:r>
      <w:r>
        <w:rPr>
          <w:rFonts w:hint="eastAsia" w:cs="宋体" w:asciiTheme="minorEastAsia" w:hAnsiTheme="minorEastAsia" w:eastAsiaTheme="minorEastAsia"/>
          <w:color w:val="auto"/>
          <w:kern w:val="0"/>
          <w:sz w:val="44"/>
          <w:szCs w:val="44"/>
        </w:rPr>
        <w:t>次）</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8"/>
        <w:gridCol w:w="4230"/>
        <w:gridCol w:w="2530"/>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百大电器经营车辆转让-皖A95401（</w:t>
            </w:r>
            <w:r>
              <w:rPr>
                <w:rFonts w:hint="eastAsia" w:asciiTheme="minorEastAsia" w:hAnsiTheme="minorEastAsia" w:eastAsiaTheme="minorEastAsia" w:cstheme="minorEastAsia"/>
                <w:color w:val="auto"/>
                <w:kern w:val="0"/>
                <w:sz w:val="24"/>
                <w:szCs w:val="24"/>
                <w:lang w:val="en-US" w:eastAsia="zh-CN"/>
              </w:rPr>
              <w:t>三</w:t>
            </w:r>
            <w:r>
              <w:rPr>
                <w:rFonts w:hint="eastAsia" w:asciiTheme="minorEastAsia" w:hAnsiTheme="minorEastAsia" w:eastAsiaTheme="minorEastAsia" w:cstheme="minorEastAsia"/>
                <w:color w:val="auto"/>
                <w:kern w:val="0"/>
                <w:sz w:val="24"/>
                <w:szCs w:val="24"/>
                <w:lang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bookmarkStart w:id="2" w:name="_GoBack"/>
            <w:bookmarkEnd w:id="2"/>
            <w:r>
              <w:rPr>
                <w:rFonts w:hint="eastAsia" w:asciiTheme="minorEastAsia" w:hAnsiTheme="minorEastAsia" w:eastAsiaTheme="minorEastAsia" w:cstheme="minorEastAsia"/>
                <w:color w:val="auto"/>
                <w:sz w:val="24"/>
                <w:szCs w:val="24"/>
              </w:rPr>
              <w:t>2024BTFCJ00856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1.公告期：2024年7月10日9:00始至2024年9月5日17:00止。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2.网络竞价自由报价期：2024年7月10日9:00时始至2024年9月6日10:00止，自由报价期满进入延时竞价期，延时竞价周期为180秒。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车牌号：皖A95401；厂牌型号：江淮牌HFC5040CCYP93K9B4仓栅式运输车；发动机号：Q141102813B；注册日期：2014年12月26日；车辆识别代号：LJ11KBAB4E6033979；交强险有效</w:t>
            </w:r>
            <w:r>
              <w:rPr>
                <w:rFonts w:hint="eastAsia" w:asciiTheme="minorEastAsia" w:hAnsiTheme="minorEastAsia" w:eastAsiaTheme="minorEastAsia" w:cstheme="minorEastAsia"/>
                <w:color w:val="auto"/>
                <w:sz w:val="24"/>
                <w:szCs w:val="24"/>
                <w:highlight w:val="none"/>
                <w:u w:val="none"/>
              </w:rPr>
              <w:t>期至2024年12月；</w:t>
            </w:r>
            <w:r>
              <w:rPr>
                <w:rFonts w:hint="eastAsia" w:asciiTheme="minorEastAsia" w:hAnsiTheme="minorEastAsia" w:eastAsiaTheme="minorEastAsia" w:cstheme="minorEastAsia"/>
                <w:color w:val="auto"/>
                <w:sz w:val="24"/>
                <w:szCs w:val="24"/>
                <w:u w:val="none"/>
              </w:rPr>
              <w:t>年审有效期至2024年12月；车辆行驶公里数：</w:t>
            </w:r>
            <w:r>
              <w:rPr>
                <w:rFonts w:hint="eastAsia" w:asciiTheme="minorEastAsia" w:hAnsiTheme="minorEastAsia" w:eastAsiaTheme="minorEastAsia" w:cstheme="minorEastAsia"/>
                <w:color w:val="auto"/>
                <w:sz w:val="24"/>
                <w:szCs w:val="24"/>
                <w:u w:val="none"/>
                <w:lang w:val="en-US" w:eastAsia="zh-CN"/>
              </w:rPr>
              <w:t>约</w:t>
            </w:r>
            <w:r>
              <w:rPr>
                <w:rFonts w:hint="eastAsia" w:asciiTheme="minorEastAsia" w:hAnsiTheme="minorEastAsia" w:eastAsiaTheme="minorEastAsia" w:cstheme="minorEastAsia"/>
                <w:color w:val="auto"/>
                <w:sz w:val="24"/>
                <w:szCs w:val="24"/>
                <w:u w:val="none"/>
              </w:rPr>
              <w:t>5.0万公里。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上述资产转让已经上级主管单位批准同意处置，合肥市房地产土地评估事务所有限公司出具了合房评估字（2023）ZC202332号《评估报告书》，资产评估总价值为人民币20961元。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1.88649万元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（1）开标日前（含当日）6个月内记分累计未满10分的；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（2）开标日前（含当日）12个月内记分累计未满15分的；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（3）开标日前（含当日）18个月内记分累计未满20分的；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委托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1"/>
              <w:gridCol w:w="2399"/>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账号：76700188015026363</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w:t>
            </w:r>
            <w:r>
              <w:rPr>
                <w:rFonts w:hint="eastAsia" w:asciiTheme="minorEastAsia" w:hAnsiTheme="minorEastAsia" w:eastAsiaTheme="minorEastAsia" w:cstheme="minorEastAsia"/>
                <w:color w:val="auto"/>
                <w:kern w:val="0"/>
                <w:sz w:val="24"/>
                <w:szCs w:val="24"/>
                <w:lang w:val="en-US" w:eastAsia="zh-CN"/>
              </w:rPr>
              <w:t>人</w:t>
            </w:r>
            <w:r>
              <w:rPr>
                <w:rFonts w:hint="eastAsia" w:asciiTheme="minorEastAsia" w:hAnsiTheme="minorEastAsia" w:eastAsiaTheme="minorEastAsia" w:cstheme="minorEastAsia"/>
                <w:color w:val="auto"/>
                <w:kern w:val="0"/>
                <w:sz w:val="24"/>
                <w:szCs w:val="24"/>
              </w:rPr>
              <w:t>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lang w:eastAsia="zh-CN"/>
              </w:rPr>
              <w:t>：</w:t>
            </w:r>
            <w:r>
              <w:rPr>
                <w:rFonts w:hint="eastAsia" w:asciiTheme="minorEastAsia" w:hAnsiTheme="minorEastAsia" w:eastAsiaTheme="minorEastAsia" w:cstheme="minorEastAsia"/>
                <w:b/>
                <w:bCs/>
                <w:color w:val="auto"/>
                <w:kern w:val="0"/>
                <w:sz w:val="24"/>
                <w:szCs w:val="24"/>
                <w:u w:val="none"/>
                <w:lang w:val="en-US" w:eastAsia="zh-CN"/>
              </w:rPr>
              <w:t>200</w:t>
            </w:r>
            <w:r>
              <w:rPr>
                <w:rFonts w:hint="eastAsia" w:asciiTheme="minorEastAsia" w:hAnsiTheme="minorEastAsia" w:eastAsiaTheme="minorEastAsia" w:cstheme="minorEastAsia"/>
                <w:b/>
                <w:bCs/>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联系电话：010-86483801转</w:t>
            </w: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w:t>
            </w:r>
            <w:r>
              <w:rPr>
                <w:rFonts w:hint="eastAsia" w:asciiTheme="minorEastAsia" w:hAnsiTheme="minorEastAsia" w:eastAsiaTheme="minorEastAsia" w:cstheme="minorEastAsia"/>
                <w:color w:val="auto"/>
                <w:sz w:val="24"/>
                <w:szCs w:val="24"/>
                <w:lang w:val="en-US" w:eastAsia="zh-CN"/>
              </w:rPr>
              <w:t>王</w:t>
            </w:r>
            <w:r>
              <w:rPr>
                <w:rFonts w:hint="eastAsia" w:asciiTheme="minorEastAsia" w:hAnsiTheme="minorEastAsia" w:eastAsiaTheme="minorEastAsia" w:cstheme="minorEastAsia"/>
                <w:color w:val="auto"/>
                <w:sz w:val="24"/>
                <w:szCs w:val="24"/>
                <w:lang w:eastAsia="zh-CN"/>
              </w:rPr>
              <w:t>工，联系电话：0551-66223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、0551-66223</w:t>
            </w:r>
            <w:r>
              <w:rPr>
                <w:rFonts w:hint="eastAsia" w:asciiTheme="minorEastAsia" w:hAnsiTheme="minorEastAsia" w:eastAsiaTheme="minorEastAsia" w:cstheme="minorEastAsia"/>
                <w:color w:val="auto"/>
                <w:sz w:val="24"/>
                <w:szCs w:val="24"/>
                <w:lang w:val="en-US" w:eastAsia="zh-CN"/>
              </w:rPr>
              <w:t>191</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widowControl/>
        <w:spacing w:line="40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bookmarkEnd w:id="0"/>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第五条　转让标的交割事项</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w:t>
      </w:r>
      <w:r>
        <w:rPr>
          <w:rFonts w:hint="eastAsia" w:cs="Times New Roman" w:asciiTheme="minorEastAsia" w:hAnsiTheme="minorEastAsia" w:eastAsiaTheme="minorEastAsia"/>
          <w:b w:val="0"/>
          <w:bCs/>
          <w:color w:val="333333"/>
          <w:sz w:val="24"/>
        </w:rPr>
        <w:t>因双方交易车辆为旧机动车车辆，故乙方对受让车辆车身及发动机工作状况等表示认同，双方确认</w:t>
      </w:r>
      <w:r>
        <w:rPr>
          <w:rFonts w:hint="eastAsia" w:asciiTheme="minorEastAsia" w:hAnsiTheme="minorEastAsia" w:eastAsiaTheme="minorEastAsia" w:cstheme="minorEastAsia"/>
          <w:b w:val="0"/>
          <w:bCs/>
          <w:sz w:val="24"/>
        </w:rPr>
        <w:t>转让标的以现场现状移交；乙方已确认了标的外观、成新度和功能情况等，清楚并认可资产现状及转让要求，任何因误解导致的一切后果和法律责任由乙方自行承担。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（二）自转让价款全部汇入合肥市产权交易中心指定账户之日起5个工作日内，甲方协助乙方办理资产过户手续</w:t>
      </w:r>
      <w:r>
        <w:rPr>
          <w:rFonts w:hint="eastAsia" w:ascii="Times New Roman" w:hAnsi="Times New Roman" w:eastAsia="宋体" w:cs="Times New Roman"/>
          <w:b w:val="0"/>
          <w:bCs/>
        </w:rPr>
        <w:t>，过户</w:t>
      </w:r>
      <w:r>
        <w:rPr>
          <w:rFonts w:hint="eastAsia" w:asciiTheme="minorEastAsia" w:hAnsiTheme="minorEastAsia" w:eastAsiaTheme="minorEastAsia" w:cstheme="minorEastAsia"/>
          <w:b w:val="0"/>
          <w:bCs/>
          <w:sz w:val="24"/>
        </w:rPr>
        <w:t>后办理交接手续。</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（三）车辆的交通违章罚款、扣分及交通事故责任，在车辆过户并实际交接前产生的由甲方承担，车辆过户并实际交接后产生的由乙方承担。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（四）转让资产最终只能过户至乙方名下，即本次转让最终证载产权方名称须与乙方名称一致。</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（五）车牌号不随车一并转让。</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第六条　转让税费的承担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转让过程中涉及的相关税费</w:t>
      </w:r>
      <w:r>
        <w:rPr>
          <w:rFonts w:hint="eastAsia" w:cs="Times New Roman" w:asciiTheme="minorEastAsia" w:hAnsiTheme="minorEastAsia" w:eastAsiaTheme="minorEastAsia"/>
          <w:b w:val="0"/>
          <w:bCs/>
          <w:sz w:val="24"/>
        </w:rPr>
        <w:t>等</w:t>
      </w:r>
      <w:r>
        <w:rPr>
          <w:rFonts w:hint="eastAsia" w:asciiTheme="minorEastAsia" w:hAnsiTheme="minorEastAsia" w:eastAsiaTheme="minorEastAsia" w:cstheme="minorEastAsia"/>
          <w:b w:val="0"/>
          <w:bCs/>
          <w:sz w:val="24"/>
        </w:rPr>
        <w:t>均由乙方承担。</w:t>
      </w:r>
    </w:p>
    <w:p>
      <w:pPr>
        <w:spacing w:line="400" w:lineRule="exact"/>
        <w:ind w:firstLine="460" w:firstLineChars="192"/>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第七条 特别约定</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第八条 违约责任</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（一）因任何一方违约而给守约方造成损失的，违约方应赔偿守约方的损失。</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除不可抗拒的因素外，因甲方责任造成甲方未按本合同的约定配合乙方办理资产交接手续的，乙方有权在本合同规定的最后的期限次日起按累计已付款金额每日万分之三的标准向甲方追究违约利息，至资产实际交付之日止。 若甲方逾期超过（1个月）仍未配合办理，乙方有权解除合同，并要求甲方赔偿违约金1万元。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如乙方未能按照本合同第四条约定支付转让价款，甲方有权在本合同规定的付款期限次日起按逾期金额每日万分之三的标准向乙方追究违约利息。若乙方逾期超过（1个月）内仍未按照合同支付，甲方有权解除合同，并要求乙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第九条 争议的解决方式</w:t>
      </w:r>
    </w:p>
    <w:p>
      <w:pPr>
        <w:spacing w:line="52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本合同在履行中发生争议，由甲、乙双方协商解决。协商不成的，甲、乙双方均可向甲方所在地人民法院-合肥市庐阳区人民法院诉讼解决。</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第十条 合同的生效</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第十一条 其他约定事项</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本合同一式 6 份，其中甲方执 4 份，乙方执 1 份，合肥市产权交易中心留存1份。</w:t>
      </w: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甲方（盖章）：                   乙方（盖章/签字）：</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法定代表人/授权代表：            法定代表人/授权代表：</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统一社会信用代码：               统一社会信用代码/公民身份号码：</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 xml:space="preserve">联系电话：                       联系电话： </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2024年     月    日             2024年     月    日</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b w:val="0"/>
          <w:bCs/>
          <w:color w:val="auto"/>
          <w:sz w:val="24"/>
          <w:szCs w:val="24"/>
        </w:rPr>
      </w:pP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8D84F9-9168-4CD6-A121-0758C4E711D8}">
  <ds:schemaRefs/>
</ds:datastoreItem>
</file>